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EA2A9A">
      <w:pPr>
        <w:jc w:val="center"/>
        <w:rPr>
          <w:rFonts w:hint="eastAsia" w:eastAsiaTheme="minorEastAsia"/>
          <w:b/>
          <w:color w:val="000000" w:themeColor="text1"/>
          <w:sz w:val="32"/>
          <w:lang w:val="en-US" w:eastAsia="zh-CN"/>
          <w14:textFill>
            <w14:solidFill>
              <w14:schemeClr w14:val="tx1"/>
            </w14:solidFill>
          </w14:textFill>
        </w:rPr>
      </w:pPr>
      <w:r>
        <w:rPr>
          <w:rFonts w:hint="eastAsia"/>
          <w:b/>
          <w:color w:val="000000" w:themeColor="text1"/>
          <w:sz w:val="32"/>
          <w:lang w:val="en-US" w:eastAsia="zh-CN"/>
          <w14:textFill>
            <w14:solidFill>
              <w14:schemeClr w14:val="tx1"/>
            </w14:solidFill>
          </w14:textFill>
        </w:rPr>
        <w:t>2025年度</w:t>
      </w:r>
      <w:r>
        <w:rPr>
          <w:rFonts w:hint="eastAsia"/>
          <w:b/>
          <w:color w:val="000000" w:themeColor="text1"/>
          <w:sz w:val="32"/>
          <w14:textFill>
            <w14:solidFill>
              <w14:schemeClr w14:val="tx1"/>
            </w14:solidFill>
          </w14:textFill>
        </w:rPr>
        <w:t>工会节日慰问品采购项目公开比选</w:t>
      </w:r>
      <w:r>
        <w:rPr>
          <w:rFonts w:hint="eastAsia"/>
          <w:b/>
          <w:color w:val="000000" w:themeColor="text1"/>
          <w:sz w:val="32"/>
          <w:lang w:val="en-US" w:eastAsia="zh-CN"/>
          <w14:textFill>
            <w14:solidFill>
              <w14:schemeClr w14:val="tx1"/>
            </w14:solidFill>
          </w14:textFill>
        </w:rPr>
        <w:t>评审标准</w:t>
      </w:r>
    </w:p>
    <w:p w14:paraId="3C4E45B3">
      <w:pPr>
        <w:rPr>
          <w:color w:val="000000" w:themeColor="text1"/>
          <w14:textFill>
            <w14:solidFill>
              <w14:schemeClr w14:val="tx1"/>
            </w14:solidFill>
          </w14:textFill>
        </w:rPr>
      </w:pPr>
    </w:p>
    <w:p w14:paraId="56C19197">
      <w:pPr>
        <w:rPr>
          <w:color w:val="000000" w:themeColor="text1"/>
          <w14:textFill>
            <w14:solidFill>
              <w14:schemeClr w14:val="tx1"/>
            </w14:solidFill>
          </w14:textFill>
        </w:rPr>
      </w:pPr>
    </w:p>
    <w:p w14:paraId="1F6CB76D">
      <w:pPr>
        <w:rPr>
          <w:color w:val="000000" w:themeColor="text1"/>
          <w14:textFill>
            <w14:solidFill>
              <w14:schemeClr w14:val="tx1"/>
            </w14:solidFill>
          </w14:textFill>
        </w:rPr>
      </w:pPr>
    </w:p>
    <w:tbl>
      <w:tblPr>
        <w:tblStyle w:val="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38"/>
        <w:gridCol w:w="3325"/>
        <w:gridCol w:w="4359"/>
      </w:tblGrid>
      <w:tr w14:paraId="71055BA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tcBorders>
              <w:top w:val="single" w:color="auto" w:sz="2" w:space="0"/>
              <w:left w:val="single" w:color="auto" w:sz="2" w:space="0"/>
              <w:bottom w:val="single" w:color="auto" w:sz="2" w:space="0"/>
              <w:right w:val="single" w:color="auto" w:sz="2" w:space="0"/>
            </w:tcBorders>
          </w:tcPr>
          <w:p w14:paraId="3C989761">
            <w:pPr>
              <w:rPr>
                <w:color w:val="000000" w:themeColor="text1"/>
                <w14:textFill>
                  <w14:solidFill>
                    <w14:schemeClr w14:val="tx1"/>
                  </w14:solidFill>
                </w14:textFill>
              </w:rPr>
            </w:pPr>
            <w:r>
              <w:rPr>
                <w:rFonts w:hint="eastAsia"/>
                <w:color w:val="000000" w:themeColor="text1"/>
                <w14:textFill>
                  <w14:solidFill>
                    <w14:schemeClr w14:val="tx1"/>
                  </w14:solidFill>
                </w14:textFill>
              </w:rPr>
              <w:t>评审因素</w:t>
            </w:r>
          </w:p>
        </w:tc>
        <w:tc>
          <w:tcPr>
            <w:tcW w:w="7684" w:type="dxa"/>
            <w:gridSpan w:val="2"/>
            <w:tcBorders>
              <w:top w:val="single" w:color="auto" w:sz="2" w:space="0"/>
              <w:left w:val="single" w:color="auto" w:sz="2" w:space="0"/>
              <w:bottom w:val="single" w:color="auto" w:sz="2" w:space="0"/>
              <w:right w:val="single" w:color="auto" w:sz="2" w:space="0"/>
            </w:tcBorders>
          </w:tcPr>
          <w:p w14:paraId="4D5DDC35">
            <w:pPr>
              <w:rPr>
                <w:color w:val="000000" w:themeColor="text1"/>
                <w14:textFill>
                  <w14:solidFill>
                    <w14:schemeClr w14:val="tx1"/>
                  </w14:solidFill>
                </w14:textFill>
              </w:rPr>
            </w:pPr>
            <w:r>
              <w:rPr>
                <w:rFonts w:hint="eastAsia"/>
                <w:color w:val="000000" w:themeColor="text1"/>
                <w14:textFill>
                  <w14:solidFill>
                    <w14:schemeClr w14:val="tx1"/>
                  </w14:solidFill>
                </w14:textFill>
              </w:rPr>
              <w:t>评审标准</w:t>
            </w:r>
          </w:p>
        </w:tc>
      </w:tr>
      <w:tr w14:paraId="5B8FB1C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tcBorders>
              <w:top w:val="single" w:color="auto" w:sz="2" w:space="0"/>
              <w:left w:val="single" w:color="auto" w:sz="2" w:space="0"/>
              <w:bottom w:val="single" w:color="auto" w:sz="2" w:space="0"/>
              <w:right w:val="single" w:color="auto" w:sz="2" w:space="0"/>
            </w:tcBorders>
          </w:tcPr>
          <w:p w14:paraId="2DB5D2E0">
            <w:pPr>
              <w:rPr>
                <w:color w:val="000000" w:themeColor="text1"/>
                <w14:textFill>
                  <w14:solidFill>
                    <w14:schemeClr w14:val="tx1"/>
                  </w14:solidFill>
                </w14:textFill>
              </w:rPr>
            </w:pPr>
            <w:r>
              <w:rPr>
                <w:rFonts w:hint="eastAsia"/>
                <w:color w:val="000000" w:themeColor="text1"/>
                <w14:textFill>
                  <w14:solidFill>
                    <w14:schemeClr w14:val="tx1"/>
                  </w14:solidFill>
                </w14:textFill>
              </w:rPr>
              <w:t>分值构成</w:t>
            </w:r>
          </w:p>
        </w:tc>
        <w:tc>
          <w:tcPr>
            <w:tcW w:w="7684" w:type="dxa"/>
            <w:gridSpan w:val="2"/>
            <w:tcBorders>
              <w:top w:val="single" w:color="auto" w:sz="2" w:space="0"/>
              <w:left w:val="single" w:color="auto" w:sz="2" w:space="0"/>
              <w:bottom w:val="single" w:color="auto" w:sz="2" w:space="0"/>
              <w:right w:val="single" w:color="auto" w:sz="2" w:space="0"/>
            </w:tcBorders>
          </w:tcPr>
          <w:p w14:paraId="5E4251BF">
            <w:pPr>
              <w:rPr>
                <w:color w:val="000000" w:themeColor="text1"/>
                <w14:textFill>
                  <w14:solidFill>
                    <w14:schemeClr w14:val="tx1"/>
                  </w14:solidFill>
                </w14:textFill>
              </w:rPr>
            </w:pPr>
            <w:r>
              <w:rPr>
                <w:rFonts w:hint="eastAsia"/>
                <w:color w:val="000000" w:themeColor="text1"/>
                <w14:textFill>
                  <w14:solidFill>
                    <w14:schemeClr w14:val="tx1"/>
                  </w14:solidFill>
                </w14:textFill>
              </w:rPr>
              <w:t>商务部分</w:t>
            </w:r>
            <w:r>
              <w:rPr>
                <w:color w:val="000000" w:themeColor="text1"/>
                <w14:textFill>
                  <w14:solidFill>
                    <w14:schemeClr w14:val="tx1"/>
                  </w14:solidFill>
                </w14:textFill>
              </w:rPr>
              <w:t>20.0</w:t>
            </w:r>
            <w:r>
              <w:rPr>
                <w:rFonts w:hint="eastAsia"/>
                <w:color w:val="000000" w:themeColor="text1"/>
                <w14:textFill>
                  <w14:solidFill>
                    <w14:schemeClr w14:val="tx1"/>
                  </w14:solidFill>
                </w14:textFill>
              </w:rPr>
              <w:t>分</w:t>
            </w:r>
          </w:p>
          <w:p w14:paraId="2DC101D6">
            <w:pPr>
              <w:rPr>
                <w:color w:val="000000" w:themeColor="text1"/>
                <w14:textFill>
                  <w14:solidFill>
                    <w14:schemeClr w14:val="tx1"/>
                  </w14:solidFill>
                </w14:textFill>
              </w:rPr>
            </w:pPr>
            <w:r>
              <w:rPr>
                <w:rFonts w:hint="eastAsia"/>
                <w:color w:val="000000" w:themeColor="text1"/>
                <w14:textFill>
                  <w14:solidFill>
                    <w14:schemeClr w14:val="tx1"/>
                  </w14:solidFill>
                </w14:textFill>
              </w:rPr>
              <w:t>技术部分</w:t>
            </w:r>
            <w:r>
              <w:rPr>
                <w:color w:val="000000" w:themeColor="text1"/>
                <w14:textFill>
                  <w14:solidFill>
                    <w14:schemeClr w14:val="tx1"/>
                  </w14:solidFill>
                </w14:textFill>
              </w:rPr>
              <w:t>50.0</w:t>
            </w:r>
            <w:r>
              <w:rPr>
                <w:rFonts w:hint="eastAsia"/>
                <w:color w:val="000000" w:themeColor="text1"/>
                <w14:textFill>
                  <w14:solidFill>
                    <w14:schemeClr w14:val="tx1"/>
                  </w14:solidFill>
                </w14:textFill>
              </w:rPr>
              <w:t>分</w:t>
            </w:r>
          </w:p>
          <w:p w14:paraId="0EA840C4">
            <w:pPr>
              <w:rPr>
                <w:color w:val="000000" w:themeColor="text1"/>
                <w14:textFill>
                  <w14:solidFill>
                    <w14:schemeClr w14:val="tx1"/>
                  </w14:solidFill>
                </w14:textFill>
              </w:rPr>
            </w:pPr>
            <w:r>
              <w:rPr>
                <w:rFonts w:hint="eastAsia"/>
                <w:color w:val="000000" w:themeColor="text1"/>
                <w14:textFill>
                  <w14:solidFill>
                    <w14:schemeClr w14:val="tx1"/>
                  </w14:solidFill>
                </w14:textFill>
              </w:rPr>
              <w:t>报价得分</w:t>
            </w:r>
            <w:r>
              <w:rPr>
                <w:color w:val="000000" w:themeColor="text1"/>
                <w14:textFill>
                  <w14:solidFill>
                    <w14:schemeClr w14:val="tx1"/>
                  </w14:solidFill>
                </w14:textFill>
              </w:rPr>
              <w:t>30.0</w:t>
            </w:r>
            <w:r>
              <w:rPr>
                <w:rFonts w:hint="eastAsia"/>
                <w:color w:val="000000" w:themeColor="text1"/>
                <w14:textFill>
                  <w14:solidFill>
                    <w14:schemeClr w14:val="tx1"/>
                  </w14:solidFill>
                </w14:textFill>
              </w:rPr>
              <w:t>分</w:t>
            </w:r>
          </w:p>
        </w:tc>
      </w:tr>
      <w:tr w14:paraId="5BB717D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vMerge w:val="restart"/>
            <w:tcBorders>
              <w:top w:val="single" w:color="auto" w:sz="2" w:space="0"/>
              <w:left w:val="single" w:color="auto" w:sz="2" w:space="0"/>
              <w:right w:val="single" w:color="auto" w:sz="2" w:space="0"/>
            </w:tcBorders>
          </w:tcPr>
          <w:p w14:paraId="2C51057C">
            <w:pPr>
              <w:rPr>
                <w:color w:val="000000" w:themeColor="text1"/>
                <w14:textFill>
                  <w14:solidFill>
                    <w14:schemeClr w14:val="tx1"/>
                  </w14:solidFill>
                </w14:textFill>
              </w:rPr>
            </w:pPr>
            <w:r>
              <w:rPr>
                <w:rFonts w:hint="eastAsia"/>
                <w:color w:val="000000" w:themeColor="text1"/>
                <w14:textFill>
                  <w14:solidFill>
                    <w14:schemeClr w14:val="tx1"/>
                  </w14:solidFill>
                </w14:textFill>
              </w:rPr>
              <w:t>技术部分</w:t>
            </w:r>
          </w:p>
        </w:tc>
        <w:tc>
          <w:tcPr>
            <w:tcW w:w="3325" w:type="dxa"/>
            <w:tcBorders>
              <w:top w:val="single" w:color="auto" w:sz="2" w:space="0"/>
              <w:left w:val="single" w:color="auto" w:sz="2" w:space="0"/>
              <w:bottom w:val="single" w:color="auto" w:sz="2" w:space="0"/>
              <w:right w:val="single" w:color="auto" w:sz="2" w:space="0"/>
            </w:tcBorders>
          </w:tcPr>
          <w:p w14:paraId="2828BC46">
            <w:pPr>
              <w:rPr>
                <w:color w:val="000000" w:themeColor="text1"/>
                <w14:textFill>
                  <w14:solidFill>
                    <w14:schemeClr w14:val="tx1"/>
                  </w14:solidFill>
                </w14:textFill>
              </w:rPr>
            </w:pPr>
            <w:r>
              <w:rPr>
                <w:rFonts w:hint="eastAsia"/>
                <w:color w:val="000000" w:themeColor="text1"/>
                <w14:textFill>
                  <w14:solidFill>
                    <w14:schemeClr w14:val="tx1"/>
                  </w14:solidFill>
                </w14:textFill>
              </w:rPr>
              <w:t>用户需求响应情况</w:t>
            </w:r>
            <w:r>
              <w:rPr>
                <w:color w:val="000000" w:themeColor="text1"/>
                <w14:textFill>
                  <w14:solidFill>
                    <w14:schemeClr w14:val="tx1"/>
                  </w14:solidFill>
                </w14:textFill>
              </w:rPr>
              <w:t xml:space="preserve"> (5.0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 (5.0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，（等次分值选择：</w:t>
            </w:r>
            <w:r>
              <w:rPr>
                <w:color w:val="000000" w:themeColor="text1"/>
                <w14:textFill>
                  <w14:solidFill>
                    <w14:schemeClr w14:val="tx1"/>
                  </w14:solidFill>
                </w14:textFill>
              </w:rPr>
              <w:t>0.0;1.0;2.0;3.0;4.0;5.0;</w:t>
            </w:r>
            <w:r>
              <w:rPr>
                <w:rFonts w:hint="eastAsia"/>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tcPr>
          <w:p w14:paraId="01C83D90">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根据供应商对采购需求的响应程度进行评审：完全满足并优于采购需求的，得满分</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分；每有</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项一般条款负偏离扣</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分，一般条款负偏离达</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项（含</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项）以上，则本项不得分。</w:t>
            </w:r>
          </w:p>
        </w:tc>
      </w:tr>
      <w:tr w14:paraId="70378E4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vMerge w:val="continue"/>
            <w:tcBorders>
              <w:left w:val="single" w:color="auto" w:sz="2" w:space="0"/>
              <w:right w:val="single" w:color="auto" w:sz="2" w:space="0"/>
            </w:tcBorders>
            <w:vAlign w:val="center"/>
          </w:tcPr>
          <w:p w14:paraId="2D826EBA">
            <w:pPr>
              <w:widowControl/>
              <w:jc w:val="left"/>
              <w:rPr>
                <w:color w:val="000000" w:themeColor="text1"/>
                <w14:textFill>
                  <w14:solidFill>
                    <w14:schemeClr w14:val="tx1"/>
                  </w14:solidFill>
                </w14:textFill>
              </w:rPr>
            </w:pPr>
          </w:p>
        </w:tc>
        <w:tc>
          <w:tcPr>
            <w:tcW w:w="3325" w:type="dxa"/>
            <w:tcBorders>
              <w:top w:val="single" w:color="auto" w:sz="2" w:space="0"/>
              <w:left w:val="single" w:color="auto" w:sz="2" w:space="0"/>
              <w:bottom w:val="single" w:color="auto" w:sz="2" w:space="0"/>
              <w:right w:val="single" w:color="auto" w:sz="2" w:space="0"/>
            </w:tcBorders>
          </w:tcPr>
          <w:p w14:paraId="4F9EF760">
            <w:pPr>
              <w:rPr>
                <w:color w:val="000000" w:themeColor="text1"/>
                <w14:textFill>
                  <w14:solidFill>
                    <w14:schemeClr w14:val="tx1"/>
                  </w14:solidFill>
                </w14:textFill>
              </w:rPr>
            </w:pPr>
            <w:r>
              <w:rPr>
                <w:rFonts w:hint="eastAsia"/>
                <w:color w:val="000000" w:themeColor="text1"/>
                <w14:textFill>
                  <w14:solidFill>
                    <w14:schemeClr w14:val="tx1"/>
                  </w14:solidFill>
                </w14:textFill>
              </w:rPr>
              <w:t>产品样品情况</w:t>
            </w:r>
            <w:r>
              <w:rPr>
                <w:color w:val="000000" w:themeColor="text1"/>
                <w14:textFill>
                  <w14:solidFill>
                    <w14:schemeClr w14:val="tx1"/>
                  </w14:solidFill>
                </w14:textFill>
              </w:rPr>
              <w:t xml:space="preserve"> (15.0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 (15.0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，（等次分值选择：</w:t>
            </w:r>
            <w:r>
              <w:rPr>
                <w:color w:val="000000" w:themeColor="text1"/>
                <w14:textFill>
                  <w14:solidFill>
                    <w14:schemeClr w14:val="tx1"/>
                  </w14:solidFill>
                </w14:textFill>
              </w:rPr>
              <w:t>0.0;3.0;9.0;15.0;</w:t>
            </w:r>
            <w:r>
              <w:rPr>
                <w:rFonts w:hint="eastAsia"/>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tcPr>
          <w:p w14:paraId="59D1C241">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根据供应商提供的产品样品，对产品品质、包装、外观、质量进行评审：（</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）产品品质上等、包装得体、大方﹑喜庆，产品质量全部优良的得</w:t>
            </w:r>
            <w:r>
              <w:rPr>
                <w:color w:val="000000" w:themeColor="text1"/>
                <w14:textFill>
                  <w14:solidFill>
                    <w14:schemeClr w14:val="tx1"/>
                  </w14:solidFill>
                </w14:textFill>
              </w:rPr>
              <w:t>15</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）产品品质上乘、包装完整，产品质量满足或部分优良的得</w:t>
            </w:r>
            <w:r>
              <w:rPr>
                <w:color w:val="000000" w:themeColor="text1"/>
                <w14:textFill>
                  <w14:solidFill>
                    <w14:schemeClr w14:val="tx1"/>
                  </w14:solidFill>
                </w14:textFill>
              </w:rPr>
              <w:t>9</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）产品品质一般、包装简单，产品质量满足质量要求的得</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）其余情况不得分。注：未提交或少提交投标样品的本项不得分。</w:t>
            </w:r>
          </w:p>
        </w:tc>
      </w:tr>
      <w:tr w14:paraId="43E015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vMerge w:val="continue"/>
            <w:tcBorders>
              <w:left w:val="single" w:color="auto" w:sz="2" w:space="0"/>
              <w:right w:val="single" w:color="auto" w:sz="2" w:space="0"/>
            </w:tcBorders>
            <w:vAlign w:val="center"/>
          </w:tcPr>
          <w:p w14:paraId="421898E0">
            <w:pPr>
              <w:widowControl/>
              <w:jc w:val="left"/>
              <w:rPr>
                <w:color w:val="000000" w:themeColor="text1"/>
                <w14:textFill>
                  <w14:solidFill>
                    <w14:schemeClr w14:val="tx1"/>
                  </w14:solidFill>
                </w14:textFill>
              </w:rPr>
            </w:pPr>
          </w:p>
        </w:tc>
        <w:tc>
          <w:tcPr>
            <w:tcW w:w="3325" w:type="dxa"/>
            <w:tcBorders>
              <w:top w:val="single" w:color="auto" w:sz="2" w:space="0"/>
              <w:left w:val="single" w:color="auto" w:sz="2" w:space="0"/>
              <w:bottom w:val="single" w:color="auto" w:sz="2" w:space="0"/>
              <w:right w:val="single" w:color="auto" w:sz="2" w:space="0"/>
            </w:tcBorders>
          </w:tcPr>
          <w:p w14:paraId="62DBCEF5">
            <w:pPr>
              <w:rPr>
                <w:color w:val="000000" w:themeColor="text1"/>
                <w14:textFill>
                  <w14:solidFill>
                    <w14:schemeClr w14:val="tx1"/>
                  </w14:solidFill>
                </w14:textFill>
              </w:rPr>
            </w:pPr>
            <w:r>
              <w:rPr>
                <w:rFonts w:hint="eastAsia"/>
                <w:color w:val="000000" w:themeColor="text1"/>
                <w14:textFill>
                  <w14:solidFill>
                    <w14:schemeClr w14:val="tx1"/>
                  </w14:solidFill>
                </w14:textFill>
              </w:rPr>
              <w:t>产品多样性</w:t>
            </w:r>
            <w:r>
              <w:rPr>
                <w:color w:val="000000" w:themeColor="text1"/>
                <w14:textFill>
                  <w14:solidFill>
                    <w14:schemeClr w14:val="tx1"/>
                  </w14:solidFill>
                </w14:textFill>
              </w:rPr>
              <w:t xml:space="preserve"> (5.0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 (5.0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，（等次分值选择：</w:t>
            </w:r>
            <w:r>
              <w:rPr>
                <w:color w:val="000000" w:themeColor="text1"/>
                <w14:textFill>
                  <w14:solidFill>
                    <w14:schemeClr w14:val="tx1"/>
                  </w14:solidFill>
                </w14:textFill>
              </w:rPr>
              <w:t>0.0;1.0;3.0;5.0;</w:t>
            </w:r>
            <w:r>
              <w:rPr>
                <w:rFonts w:hint="eastAsia"/>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tcPr>
          <w:p w14:paraId="1204CC6E">
            <w:pPr>
              <w:rPr>
                <w:color w:val="000000" w:themeColor="text1"/>
                <w14:textFill>
                  <w14:solidFill>
                    <w14:schemeClr w14:val="tx1"/>
                  </w14:solidFill>
                </w14:textFill>
              </w:rPr>
            </w:pPr>
            <w:r>
              <w:rPr>
                <w:rFonts w:hint="eastAsia"/>
                <w:color w:val="000000" w:themeColor="text1"/>
                <w14:textFill>
                  <w14:solidFill>
                    <w14:schemeClr w14:val="tx1"/>
                  </w14:solidFill>
                </w14:textFill>
              </w:rPr>
              <w:t>综合对比各供应商提供的产品目录种类。（</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）产品目录种类多：</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）产品目录种类较多：</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）产品目录种类一般：</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）其余情况或没有提供不得分。注：须提供产品列表及平台清单截图。</w:t>
            </w:r>
          </w:p>
        </w:tc>
      </w:tr>
      <w:tr w14:paraId="19A3602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vMerge w:val="continue"/>
            <w:tcBorders>
              <w:left w:val="single" w:color="auto" w:sz="2" w:space="0"/>
              <w:right w:val="single" w:color="auto" w:sz="2" w:space="0"/>
            </w:tcBorders>
            <w:vAlign w:val="center"/>
          </w:tcPr>
          <w:p w14:paraId="2F505160">
            <w:pPr>
              <w:widowControl/>
              <w:jc w:val="left"/>
              <w:rPr>
                <w:color w:val="000000" w:themeColor="text1"/>
                <w14:textFill>
                  <w14:solidFill>
                    <w14:schemeClr w14:val="tx1"/>
                  </w14:solidFill>
                </w14:textFill>
              </w:rPr>
            </w:pPr>
          </w:p>
        </w:tc>
        <w:tc>
          <w:tcPr>
            <w:tcW w:w="3325" w:type="dxa"/>
            <w:tcBorders>
              <w:top w:val="single" w:color="auto" w:sz="2" w:space="0"/>
              <w:left w:val="single" w:color="auto" w:sz="2" w:space="0"/>
              <w:bottom w:val="single" w:color="auto" w:sz="2" w:space="0"/>
              <w:right w:val="single" w:color="auto" w:sz="2" w:space="0"/>
            </w:tcBorders>
          </w:tcPr>
          <w:p w14:paraId="07A65431">
            <w:pPr>
              <w:rPr>
                <w:rFonts w:hint="default" w:eastAsiaTheme="minor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套餐多样性、套餐搭配情况及特定要求（10分）</w:t>
            </w:r>
          </w:p>
        </w:tc>
        <w:tc>
          <w:tcPr>
            <w:tcW w:w="4359" w:type="dxa"/>
            <w:tcBorders>
              <w:top w:val="single" w:color="auto" w:sz="2" w:space="0"/>
              <w:left w:val="single" w:color="auto" w:sz="2" w:space="0"/>
              <w:bottom w:val="single" w:color="auto" w:sz="2" w:space="0"/>
              <w:right w:val="single" w:color="auto" w:sz="2" w:space="0"/>
            </w:tcBorders>
          </w:tcPr>
          <w:p w14:paraId="1A4CFE52">
            <w:pPr>
              <w:rPr>
                <w:rFonts w:hint="default" w:eastAsiaTheme="minorEastAsia"/>
                <w:color w:val="000000" w:themeColor="text1"/>
                <w:lang w:val="en-US" w:eastAsia="zh-CN"/>
                <w14:textFill>
                  <w14:solidFill>
                    <w14:schemeClr w14:val="tx1"/>
                  </w14:solidFill>
                </w14:textFill>
              </w:rPr>
            </w:pPr>
            <w:r>
              <w:rPr>
                <w:rFonts w:hint="default"/>
                <w:color w:val="000000" w:themeColor="text1"/>
                <w:lang w:eastAsia="zh-CN"/>
                <w14:textFill>
                  <w14:solidFill>
                    <w14:schemeClr w14:val="tx1"/>
                  </w14:solidFill>
                </w14:textFill>
              </w:rPr>
              <w:t>（1）</w:t>
            </w:r>
            <w:r>
              <w:rPr>
                <w:rFonts w:hint="eastAsia"/>
                <w:color w:val="000000" w:themeColor="text1"/>
                <w:lang w:val="en-US" w:eastAsia="zh-CN"/>
                <w14:textFill>
                  <w14:solidFill>
                    <w14:schemeClr w14:val="tx1"/>
                  </w14:solidFill>
                </w14:textFill>
              </w:rPr>
              <w:t>不少于</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个</w:t>
            </w:r>
            <w:r>
              <w:rPr>
                <w:rFonts w:hint="eastAsia"/>
                <w:color w:val="000000" w:themeColor="text1"/>
                <w14:textFill>
                  <w14:solidFill>
                    <w14:schemeClr w14:val="tx1"/>
                  </w14:solidFill>
                </w14:textFill>
              </w:rPr>
              <w:t>不同套餐</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套餐搭配很好：5</w:t>
            </w:r>
            <w:r>
              <w:rPr>
                <w:rFonts w:hint="default"/>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不少于</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个</w:t>
            </w:r>
            <w:r>
              <w:rPr>
                <w:rFonts w:hint="eastAsia"/>
                <w:color w:val="000000" w:themeColor="text1"/>
                <w14:textFill>
                  <w14:solidFill>
                    <w14:schemeClr w14:val="tx1"/>
                  </w14:solidFill>
                </w14:textFill>
              </w:rPr>
              <w:t>不同套餐</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套餐搭配较好：3</w:t>
            </w:r>
            <w:r>
              <w:rPr>
                <w:rFonts w:hint="default"/>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不少于</w:t>
            </w:r>
            <w:r>
              <w:rPr>
                <w:rFonts w:hint="eastAsia"/>
                <w:color w:val="000000" w:themeColor="text1"/>
                <w14:textFill>
                  <w14:solidFill>
                    <w14:schemeClr w14:val="tx1"/>
                  </w14:solidFill>
                </w14:textFill>
              </w:rPr>
              <w:t>3</w:t>
            </w:r>
            <w:r>
              <w:rPr>
                <w:rFonts w:hint="eastAsia"/>
                <w:color w:val="000000" w:themeColor="text1"/>
                <w:lang w:val="en-US" w:eastAsia="zh-CN"/>
                <w14:textFill>
                  <w14:solidFill>
                    <w14:schemeClr w14:val="tx1"/>
                  </w14:solidFill>
                </w14:textFill>
              </w:rPr>
              <w:t>个</w:t>
            </w:r>
            <w:r>
              <w:rPr>
                <w:rFonts w:hint="eastAsia"/>
                <w:color w:val="000000" w:themeColor="text1"/>
                <w14:textFill>
                  <w14:solidFill>
                    <w14:schemeClr w14:val="tx1"/>
                  </w14:solidFill>
                </w14:textFill>
              </w:rPr>
              <w:t>不同套餐</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套餐搭配一般：1</w:t>
            </w:r>
            <w:r>
              <w:rPr>
                <w:rFonts w:hint="default"/>
                <w:color w:val="000000" w:themeColor="text1"/>
                <w14:textFill>
                  <w14:solidFill>
                    <w14:schemeClr w14:val="tx1"/>
                  </w14:solidFill>
                </w14:textFill>
              </w:rPr>
              <w:t>分</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少于3个套餐得0分</w:t>
            </w:r>
            <w:r>
              <w:rPr>
                <w:rFonts w:hint="default"/>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其中至少有一个套餐包含10kg以上大米及10L以上食用油，满足得3分，不满足得0分</w:t>
            </w:r>
            <w:r>
              <w:rPr>
                <w:rFonts w:hint="default"/>
                <w:color w:val="000000" w:themeColor="text1"/>
                <w:lang w:eastAsia="zh-CN"/>
                <w14:textFill>
                  <w14:solidFill>
                    <w14:schemeClr w14:val="tx1"/>
                  </w14:solidFill>
                </w14:textFill>
              </w:rPr>
              <w:t>。</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3）至少有一个套餐在满足包含10kg以上大米及10L以上食用油的基础上，每增加5kg大米或5L食用油得1分，封顶2分。</w:t>
            </w:r>
          </w:p>
        </w:tc>
      </w:tr>
      <w:tr w14:paraId="56A22C8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vMerge w:val="continue"/>
            <w:tcBorders>
              <w:left w:val="single" w:color="auto" w:sz="2" w:space="0"/>
              <w:right w:val="single" w:color="auto" w:sz="2" w:space="0"/>
            </w:tcBorders>
            <w:vAlign w:val="center"/>
          </w:tcPr>
          <w:p w14:paraId="0F30A2C6">
            <w:pPr>
              <w:widowControl/>
              <w:jc w:val="left"/>
              <w:rPr>
                <w:color w:val="000000" w:themeColor="text1"/>
                <w14:textFill>
                  <w14:solidFill>
                    <w14:schemeClr w14:val="tx1"/>
                  </w14:solidFill>
                </w14:textFill>
              </w:rPr>
            </w:pPr>
          </w:p>
        </w:tc>
        <w:tc>
          <w:tcPr>
            <w:tcW w:w="3325" w:type="dxa"/>
            <w:tcBorders>
              <w:top w:val="single" w:color="auto" w:sz="2" w:space="0"/>
              <w:left w:val="single" w:color="auto" w:sz="2" w:space="0"/>
              <w:bottom w:val="single" w:color="auto" w:sz="2" w:space="0"/>
              <w:right w:val="single" w:color="auto" w:sz="2" w:space="0"/>
            </w:tcBorders>
            <w:vAlign w:val="top"/>
          </w:tcPr>
          <w:p w14:paraId="5A4ADCB8">
            <w:pPr>
              <w:rPr>
                <w:rFonts w:hint="eastAsia" w:asciiTheme="minorHAnsi" w:hAnsiTheme="minorHAnsi" w:eastAsiaTheme="minorEastAsia" w:cstheme="minorBidi"/>
                <w:color w:val="000000" w:themeColor="text1"/>
                <w:kern w:val="2"/>
                <w:sz w:val="21"/>
                <w:szCs w:val="22"/>
                <w:lang w:val="en-US" w:eastAsia="zh-CN" w:bidi="ar-SA"/>
                <w14:textFill>
                  <w14:solidFill>
                    <w14:schemeClr w14:val="tx1"/>
                  </w14:solidFill>
                </w14:textFill>
              </w:rPr>
            </w:pPr>
            <w:r>
              <w:rPr>
                <w:rFonts w:hint="eastAsia"/>
                <w:color w:val="000000" w:themeColor="text1"/>
                <w14:textFill>
                  <w14:solidFill>
                    <w14:schemeClr w14:val="tx1"/>
                  </w14:solidFill>
                </w14:textFill>
              </w:rPr>
              <w:t>配送方案</w:t>
            </w:r>
            <w:r>
              <w:rPr>
                <w:color w:val="000000" w:themeColor="text1"/>
                <w14:textFill>
                  <w14:solidFill>
                    <w14:schemeClr w14:val="tx1"/>
                  </w14:solidFill>
                </w14:textFill>
              </w:rPr>
              <w:t>(5.0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 (5.0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，（等次分值选择：</w:t>
            </w:r>
            <w:r>
              <w:rPr>
                <w:color w:val="000000" w:themeColor="text1"/>
                <w14:textFill>
                  <w14:solidFill>
                    <w14:schemeClr w14:val="tx1"/>
                  </w14:solidFill>
                </w14:textFill>
              </w:rPr>
              <w:t>0.0;2.0;5.0;</w:t>
            </w:r>
            <w:r>
              <w:rPr>
                <w:rFonts w:hint="eastAsia"/>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vAlign w:val="top"/>
          </w:tcPr>
          <w:p w14:paraId="24D54DE1">
            <w:pPr>
              <w:rPr>
                <w:rFonts w:hint="default" w:asciiTheme="minorHAnsi" w:hAnsiTheme="minorHAnsi" w:eastAsiaTheme="minorEastAsia" w:cstheme="minorBidi"/>
                <w:color w:val="000000" w:themeColor="text1"/>
                <w:kern w:val="2"/>
                <w:sz w:val="21"/>
                <w:szCs w:val="22"/>
                <w:lang w:eastAsia="zh-CN" w:bidi="ar-SA"/>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）供应商采用京东、顺丰配送的得</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）供应商采用其他配送公司得</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）其他</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分。</w:t>
            </w:r>
          </w:p>
        </w:tc>
      </w:tr>
      <w:tr w14:paraId="46E2A1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vMerge w:val="continue"/>
            <w:tcBorders>
              <w:left w:val="single" w:color="auto" w:sz="2" w:space="0"/>
              <w:bottom w:val="single" w:color="auto" w:sz="2" w:space="0"/>
              <w:right w:val="single" w:color="auto" w:sz="2" w:space="0"/>
            </w:tcBorders>
            <w:vAlign w:val="center"/>
          </w:tcPr>
          <w:p w14:paraId="698BF2D7">
            <w:pPr>
              <w:widowControl/>
              <w:jc w:val="left"/>
              <w:rPr>
                <w:color w:val="000000" w:themeColor="text1"/>
                <w14:textFill>
                  <w14:solidFill>
                    <w14:schemeClr w14:val="tx1"/>
                  </w14:solidFill>
                </w14:textFill>
              </w:rPr>
            </w:pPr>
          </w:p>
        </w:tc>
        <w:tc>
          <w:tcPr>
            <w:tcW w:w="3325" w:type="dxa"/>
            <w:tcBorders>
              <w:top w:val="single" w:color="auto" w:sz="2" w:space="0"/>
              <w:left w:val="single" w:color="auto" w:sz="2" w:space="0"/>
              <w:bottom w:val="single" w:color="auto" w:sz="2" w:space="0"/>
              <w:right w:val="single" w:color="auto" w:sz="2" w:space="0"/>
            </w:tcBorders>
            <w:vAlign w:val="top"/>
          </w:tcPr>
          <w:p w14:paraId="5D4F3EC5">
            <w:pPr>
              <w:rPr>
                <w:rFonts w:hint="eastAsia" w:asciiTheme="minorHAnsi" w:hAnsiTheme="minorHAnsi" w:eastAsiaTheme="minorEastAsia" w:cstheme="minorBidi"/>
                <w:color w:val="000000" w:themeColor="text1"/>
                <w:kern w:val="2"/>
                <w:sz w:val="21"/>
                <w:szCs w:val="22"/>
                <w:lang w:val="en-US" w:eastAsia="zh-CN" w:bidi="ar-SA"/>
                <w14:textFill>
                  <w14:solidFill>
                    <w14:schemeClr w14:val="tx1"/>
                  </w14:solidFill>
                </w14:textFill>
              </w:rPr>
            </w:pPr>
            <w:r>
              <w:rPr>
                <w:rFonts w:hint="eastAsia"/>
                <w:color w:val="000000" w:themeColor="text1"/>
                <w14:textFill>
                  <w14:solidFill>
                    <w14:schemeClr w14:val="tx1"/>
                  </w14:solidFill>
                </w14:textFill>
              </w:rPr>
              <w:t>产品质量保障方案</w:t>
            </w:r>
            <w:r>
              <w:rPr>
                <w:color w:val="000000" w:themeColor="text1"/>
                <w14:textFill>
                  <w14:solidFill>
                    <w14:schemeClr w14:val="tx1"/>
                  </w14:solidFill>
                </w14:textFill>
              </w:rPr>
              <w:t xml:space="preserve"> (10.0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 (10.0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，（等次分值选择：</w:t>
            </w:r>
            <w:r>
              <w:rPr>
                <w:color w:val="000000" w:themeColor="text1"/>
                <w14:textFill>
                  <w14:solidFill>
                    <w14:schemeClr w14:val="tx1"/>
                  </w14:solidFill>
                </w14:textFill>
              </w:rPr>
              <w:t>0.0;3.0;6.0;10.0;</w:t>
            </w:r>
            <w:r>
              <w:rPr>
                <w:rFonts w:hint="eastAsia"/>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vAlign w:val="top"/>
          </w:tcPr>
          <w:p w14:paraId="0BED416D">
            <w:pPr>
              <w:rPr>
                <w:rFonts w:hint="default" w:asciiTheme="minorHAnsi" w:hAnsiTheme="minorHAnsi" w:eastAsiaTheme="minorEastAsia" w:cstheme="minorBidi"/>
                <w:color w:val="000000" w:themeColor="text1"/>
                <w:kern w:val="2"/>
                <w:sz w:val="21"/>
                <w:szCs w:val="22"/>
                <w:lang w:eastAsia="zh-CN" w:bidi="ar-SA"/>
                <w14:textFill>
                  <w14:solidFill>
                    <w14:schemeClr w14:val="tx1"/>
                  </w14:solidFill>
                </w14:textFill>
              </w:rPr>
            </w:pPr>
            <w:r>
              <w:rPr>
                <w:rFonts w:hint="eastAsia"/>
                <w:color w:val="000000" w:themeColor="text1"/>
                <w14:textFill>
                  <w14:solidFill>
                    <w14:schemeClr w14:val="tx1"/>
                  </w14:solidFill>
                </w14:textFill>
              </w:rPr>
              <w:t>针对投标人的产品质量保障方案进行评审：方案全面、科学、合理，针对性强的，得</w:t>
            </w:r>
            <w:r>
              <w:rPr>
                <w:color w:val="000000" w:themeColor="text1"/>
                <w14:textFill>
                  <w14:solidFill>
                    <w14:schemeClr w14:val="tx1"/>
                  </w14:solidFill>
                </w14:textFill>
              </w:rPr>
              <w:t>10</w:t>
            </w:r>
            <w:r>
              <w:rPr>
                <w:rFonts w:hint="eastAsia"/>
                <w:color w:val="000000" w:themeColor="text1"/>
                <w14:textFill>
                  <w14:solidFill>
                    <w14:schemeClr w14:val="tx1"/>
                  </w14:solidFill>
                </w14:textFill>
              </w:rPr>
              <w:t>分；方案较科学、合理，针对性较强，得</w:t>
            </w:r>
            <w:r>
              <w:rPr>
                <w:color w:val="000000" w:themeColor="text1"/>
                <w14:textFill>
                  <w14:solidFill>
                    <w14:schemeClr w14:val="tx1"/>
                  </w14:solidFill>
                </w14:textFill>
              </w:rPr>
              <w:t>6</w:t>
            </w:r>
            <w:r>
              <w:rPr>
                <w:rFonts w:hint="eastAsia"/>
                <w:color w:val="000000" w:themeColor="text1"/>
                <w14:textFill>
                  <w14:solidFill>
                    <w14:schemeClr w14:val="tx1"/>
                  </w14:solidFill>
                </w14:textFill>
              </w:rPr>
              <w:t>分；方案不够全面、科学、合理，针对性一般，得</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分；不提供不得分。</w:t>
            </w:r>
          </w:p>
        </w:tc>
      </w:tr>
      <w:tr w14:paraId="204BAB0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vMerge w:val="restart"/>
            <w:tcBorders>
              <w:top w:val="single" w:color="auto" w:sz="2" w:space="0"/>
              <w:left w:val="single" w:color="auto" w:sz="2" w:space="0"/>
              <w:bottom w:val="single" w:color="auto" w:sz="2" w:space="0"/>
              <w:right w:val="single" w:color="auto" w:sz="2" w:space="0"/>
            </w:tcBorders>
          </w:tcPr>
          <w:p w14:paraId="5A9837E6">
            <w:pPr>
              <w:rPr>
                <w:color w:val="000000" w:themeColor="text1"/>
                <w14:textFill>
                  <w14:solidFill>
                    <w14:schemeClr w14:val="tx1"/>
                  </w14:solidFill>
                </w14:textFill>
              </w:rPr>
            </w:pPr>
            <w:r>
              <w:rPr>
                <w:rFonts w:hint="eastAsia"/>
                <w:color w:val="000000" w:themeColor="text1"/>
                <w14:textFill>
                  <w14:solidFill>
                    <w14:schemeClr w14:val="tx1"/>
                  </w14:solidFill>
                </w14:textFill>
              </w:rPr>
              <w:t>商务部分</w:t>
            </w:r>
          </w:p>
        </w:tc>
        <w:tc>
          <w:tcPr>
            <w:tcW w:w="3325" w:type="dxa"/>
            <w:tcBorders>
              <w:top w:val="single" w:color="auto" w:sz="2" w:space="0"/>
              <w:left w:val="single" w:color="auto" w:sz="2" w:space="0"/>
              <w:bottom w:val="single" w:color="auto" w:sz="2" w:space="0"/>
              <w:right w:val="single" w:color="auto" w:sz="2" w:space="0"/>
            </w:tcBorders>
          </w:tcPr>
          <w:p w14:paraId="1BEF7D4B">
            <w:pPr>
              <w:rPr>
                <w:color w:val="000000" w:themeColor="text1"/>
                <w14:textFill>
                  <w14:solidFill>
                    <w14:schemeClr w14:val="tx1"/>
                  </w14:solidFill>
                </w14:textFill>
              </w:rPr>
            </w:pPr>
            <w:r>
              <w:rPr>
                <w:rFonts w:hint="eastAsia"/>
                <w:color w:val="000000" w:themeColor="text1"/>
                <w14:textFill>
                  <w14:solidFill>
                    <w14:schemeClr w14:val="tx1"/>
                  </w14:solidFill>
                </w14:textFill>
              </w:rPr>
              <w:t>项目业绩</w:t>
            </w:r>
            <w:r>
              <w:rPr>
                <w:color w:val="000000" w:themeColor="text1"/>
                <w14:textFill>
                  <w14:solidFill>
                    <w14:schemeClr w14:val="tx1"/>
                  </w14:solidFill>
                </w14:textFill>
              </w:rPr>
              <w:t xml:space="preserve"> (10.0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 (10.0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，（等次分值选择：</w:t>
            </w:r>
            <w:r>
              <w:rPr>
                <w:color w:val="000000" w:themeColor="text1"/>
                <w14:textFill>
                  <w14:solidFill>
                    <w14:schemeClr w14:val="tx1"/>
                  </w14:solidFill>
                </w14:textFill>
              </w:rPr>
              <w:t>0.0;2.0;4.0;6.0;8.0</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10.0;</w:t>
            </w:r>
            <w:r>
              <w:rPr>
                <w:rFonts w:hint="eastAsia"/>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tcPr>
          <w:p w14:paraId="4A10F5DB">
            <w:pPr>
              <w:rPr>
                <w:color w:val="000000" w:themeColor="text1"/>
                <w14:textFill>
                  <w14:solidFill>
                    <w14:schemeClr w14:val="tx1"/>
                  </w14:solidFill>
                </w14:textFill>
              </w:rPr>
            </w:pPr>
            <w:r>
              <w:rPr>
                <w:rFonts w:hint="eastAsia"/>
                <w:color w:val="000000" w:themeColor="text1"/>
                <w14:textFill>
                  <w14:solidFill>
                    <w14:schemeClr w14:val="tx1"/>
                  </w14:solidFill>
                </w14:textFill>
              </w:rPr>
              <w:t>供应商自</w:t>
            </w:r>
            <w:r>
              <w:rPr>
                <w:rFonts w:hint="eastAsia"/>
                <w:color w:val="000000" w:themeColor="text1"/>
                <w:lang w:val="en-US" w:eastAsia="zh-CN"/>
                <w14:textFill>
                  <w14:solidFill>
                    <w14:schemeClr w14:val="tx1"/>
                  </w14:solidFill>
                </w14:textFill>
              </w:rPr>
              <w:t>2021</w:t>
            </w:r>
            <w:r>
              <w:rPr>
                <w:rFonts w:hint="eastAsia"/>
                <w:color w:val="000000" w:themeColor="text1"/>
                <w14:textFill>
                  <w14:solidFill>
                    <w14:schemeClr w14:val="tx1"/>
                  </w14:solidFill>
                </w14:textFill>
              </w:rPr>
              <w:t>年至今，同类项目业绩，每个业绩得</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最高</w:t>
            </w:r>
            <w:r>
              <w:rPr>
                <w:color w:val="000000" w:themeColor="text1"/>
                <w14:textFill>
                  <w14:solidFill>
                    <w14:schemeClr w14:val="tx1"/>
                  </w14:solidFill>
                </w14:textFill>
              </w:rPr>
              <w:t>10</w:t>
            </w:r>
            <w:r>
              <w:rPr>
                <w:rFonts w:hint="eastAsia"/>
                <w:color w:val="000000" w:themeColor="text1"/>
                <w14:textFill>
                  <w14:solidFill>
                    <w14:schemeClr w14:val="tx1"/>
                  </w14:solidFill>
                </w14:textFill>
              </w:rPr>
              <w:t>分（须提供合同复印件加盖公章）。</w:t>
            </w:r>
          </w:p>
        </w:tc>
      </w:tr>
      <w:tr w14:paraId="681EFB9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0" w:type="auto"/>
            <w:vMerge w:val="continue"/>
            <w:tcBorders>
              <w:top w:val="single" w:color="auto" w:sz="2" w:space="0"/>
              <w:left w:val="single" w:color="auto" w:sz="2" w:space="0"/>
              <w:bottom w:val="single" w:color="auto" w:sz="2" w:space="0"/>
              <w:right w:val="single" w:color="auto" w:sz="2" w:space="0"/>
            </w:tcBorders>
            <w:vAlign w:val="center"/>
          </w:tcPr>
          <w:p w14:paraId="3D503BB0">
            <w:pPr>
              <w:widowControl/>
              <w:jc w:val="left"/>
              <w:rPr>
                <w:color w:val="000000" w:themeColor="text1"/>
                <w14:textFill>
                  <w14:solidFill>
                    <w14:schemeClr w14:val="tx1"/>
                  </w14:solidFill>
                </w14:textFill>
              </w:rPr>
            </w:pPr>
          </w:p>
        </w:tc>
        <w:tc>
          <w:tcPr>
            <w:tcW w:w="3325" w:type="dxa"/>
            <w:tcBorders>
              <w:top w:val="single" w:color="auto" w:sz="2" w:space="0"/>
              <w:left w:val="single" w:color="auto" w:sz="2" w:space="0"/>
              <w:bottom w:val="single" w:color="auto" w:sz="2" w:space="0"/>
              <w:right w:val="single" w:color="auto" w:sz="2" w:space="0"/>
            </w:tcBorders>
          </w:tcPr>
          <w:p w14:paraId="71F0FBB3">
            <w:pPr>
              <w:rPr>
                <w:color w:val="000000" w:themeColor="text1"/>
                <w14:textFill>
                  <w14:solidFill>
                    <w14:schemeClr w14:val="tx1"/>
                  </w14:solidFill>
                </w14:textFill>
              </w:rPr>
            </w:pPr>
            <w:r>
              <w:rPr>
                <w:rFonts w:hint="eastAsia"/>
                <w:color w:val="000000" w:themeColor="text1"/>
                <w14:textFill>
                  <w14:solidFill>
                    <w14:schemeClr w14:val="tx1"/>
                  </w14:solidFill>
                </w14:textFill>
              </w:rPr>
              <w:t>售后及退换货服务</w:t>
            </w:r>
            <w:r>
              <w:rPr>
                <w:color w:val="000000" w:themeColor="text1"/>
                <w14:textFill>
                  <w14:solidFill>
                    <w14:schemeClr w14:val="tx1"/>
                  </w14:solidFill>
                </w14:textFill>
              </w:rPr>
              <w:t xml:space="preserve"> (10.0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 (10.0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，（等次分值选择：</w:t>
            </w:r>
            <w:r>
              <w:rPr>
                <w:color w:val="000000" w:themeColor="text1"/>
                <w14:textFill>
                  <w14:solidFill>
                    <w14:schemeClr w14:val="tx1"/>
                  </w14:solidFill>
                </w14:textFill>
              </w:rPr>
              <w:t>0.0;2.0;5.0;10.0;</w:t>
            </w:r>
            <w:r>
              <w:rPr>
                <w:rFonts w:hint="eastAsia"/>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tcPr>
          <w:p w14:paraId="098AC98F">
            <w:pPr>
              <w:rPr>
                <w:color w:val="000000" w:themeColor="text1"/>
                <w14:textFill>
                  <w14:solidFill>
                    <w14:schemeClr w14:val="tx1"/>
                  </w14:solidFill>
                </w14:textFill>
              </w:rPr>
            </w:pPr>
            <w:r>
              <w:rPr>
                <w:rFonts w:hint="eastAsia"/>
                <w:color w:val="000000" w:themeColor="text1"/>
                <w14:textFill>
                  <w14:solidFill>
                    <w14:schemeClr w14:val="tx1"/>
                  </w14:solidFill>
                </w14:textFill>
              </w:rPr>
              <w:t>根据投标人提供的针对本项目的售后服务机构设置的合理性及覆盖范围进性评审（需提供售后服务机构的详细地址及联系方式，联系人及场地证明（营业执照或租赁合同）：售后服务机构设置数量覆盖范围广，便捷，应急响应时间快，科学合理，得</w:t>
            </w:r>
            <w:r>
              <w:rPr>
                <w:color w:val="000000" w:themeColor="text1"/>
                <w14:textFill>
                  <w14:solidFill>
                    <w14:schemeClr w14:val="tx1"/>
                  </w14:solidFill>
                </w14:textFill>
              </w:rPr>
              <w:t>10</w:t>
            </w:r>
            <w:r>
              <w:rPr>
                <w:rFonts w:hint="eastAsia"/>
                <w:color w:val="000000" w:themeColor="text1"/>
                <w14:textFill>
                  <w14:solidFill>
                    <w14:schemeClr w14:val="tx1"/>
                  </w14:solidFill>
                </w14:textFill>
              </w:rPr>
              <w:t>分；售后服务机构设置数量范围适中，较便捷，应急响应时间较快，得</w:t>
            </w:r>
            <w:r>
              <w:rPr>
                <w:color w:val="000000" w:themeColor="text1"/>
                <w14:textFill>
                  <w14:solidFill>
                    <w14:schemeClr w14:val="tx1"/>
                  </w14:solidFill>
                </w14:textFill>
              </w:rPr>
              <w:t xml:space="preserve"> 5</w:t>
            </w:r>
            <w:r>
              <w:rPr>
                <w:rFonts w:hint="eastAsia"/>
                <w:color w:val="000000" w:themeColor="text1"/>
                <w14:textFill>
                  <w14:solidFill>
                    <w14:schemeClr w14:val="tx1"/>
                  </w14:solidFill>
                </w14:textFill>
              </w:rPr>
              <w:t>分；售后服务机构设置不合理，覆盖率低，应急响应时间较慢，得</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分；不提供不得分。</w:t>
            </w:r>
          </w:p>
        </w:tc>
      </w:tr>
      <w:tr w14:paraId="2F6511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38" w:type="dxa"/>
            <w:tcBorders>
              <w:top w:val="single" w:color="auto" w:sz="2" w:space="0"/>
              <w:left w:val="single" w:color="auto" w:sz="2" w:space="0"/>
              <w:bottom w:val="single" w:color="auto" w:sz="2" w:space="0"/>
              <w:right w:val="single" w:color="auto" w:sz="2" w:space="0"/>
            </w:tcBorders>
          </w:tcPr>
          <w:p w14:paraId="761EC867">
            <w:pPr>
              <w:rPr>
                <w:color w:val="000000" w:themeColor="text1"/>
                <w14:textFill>
                  <w14:solidFill>
                    <w14:schemeClr w14:val="tx1"/>
                  </w14:solidFill>
                </w14:textFill>
              </w:rPr>
            </w:pPr>
            <w:r>
              <w:rPr>
                <w:rFonts w:hint="eastAsia"/>
                <w:color w:val="000000" w:themeColor="text1"/>
                <w14:textFill>
                  <w14:solidFill>
                    <w14:schemeClr w14:val="tx1"/>
                  </w14:solidFill>
                </w14:textFill>
              </w:rPr>
              <w:t>投标报价</w:t>
            </w:r>
          </w:p>
        </w:tc>
        <w:tc>
          <w:tcPr>
            <w:tcW w:w="3325" w:type="dxa"/>
            <w:tcBorders>
              <w:top w:val="single" w:color="auto" w:sz="2" w:space="0"/>
              <w:left w:val="single" w:color="auto" w:sz="2" w:space="0"/>
              <w:bottom w:val="single" w:color="auto" w:sz="2" w:space="0"/>
              <w:right w:val="single" w:color="auto" w:sz="2" w:space="0"/>
            </w:tcBorders>
            <w:vAlign w:val="top"/>
          </w:tcPr>
          <w:p w14:paraId="49158DAC">
            <w:pPr>
              <w:rPr>
                <w:rFonts w:asciiTheme="minorHAnsi" w:hAnsiTheme="minorHAnsi" w:eastAsiaTheme="minorEastAsia" w:cstheme="minorBidi"/>
                <w:color w:val="000000" w:themeColor="text1"/>
                <w:kern w:val="2"/>
                <w:sz w:val="21"/>
                <w:szCs w:val="22"/>
                <w:lang w:val="en-US" w:eastAsia="zh-CN" w:bidi="ar-SA"/>
                <w14:textFill>
                  <w14:solidFill>
                    <w14:schemeClr w14:val="tx1"/>
                  </w14:solidFill>
                </w14:textFill>
              </w:rPr>
            </w:pPr>
            <w:r>
              <w:rPr>
                <w:rFonts w:hint="eastAsia"/>
                <w:color w:val="000000" w:themeColor="text1"/>
                <w14:textFill>
                  <w14:solidFill>
                    <w14:schemeClr w14:val="tx1"/>
                  </w14:solidFill>
                </w14:textFill>
              </w:rPr>
              <w:t>投标报价得分</w:t>
            </w:r>
            <w:r>
              <w:rPr>
                <w:color w:val="000000" w:themeColor="text1"/>
                <w14:textFill>
                  <w14:solidFill>
                    <w14:schemeClr w14:val="tx1"/>
                  </w14:solidFill>
                </w14:textFill>
              </w:rPr>
              <w:t xml:space="preserve"> (30.0</w:t>
            </w:r>
            <w:r>
              <w:rPr>
                <w:rFonts w:hint="eastAsia"/>
                <w:color w:val="000000" w:themeColor="text1"/>
                <w14:textFill>
                  <w14:solidFill>
                    <w14:schemeClr w14:val="tx1"/>
                  </w14:solidFill>
                </w14:textFill>
              </w:rPr>
              <w:t>分</w:t>
            </w:r>
            <w:r>
              <w:rPr>
                <w:color w:val="000000" w:themeColor="text1"/>
                <w14:textFill>
                  <w14:solidFill>
                    <w14:schemeClr w14:val="tx1"/>
                  </w14:solidFill>
                </w14:textFill>
              </w:rPr>
              <w:t>)</w:t>
            </w:r>
          </w:p>
        </w:tc>
        <w:tc>
          <w:tcPr>
            <w:tcW w:w="4359" w:type="dxa"/>
            <w:tcBorders>
              <w:top w:val="single" w:color="auto" w:sz="2" w:space="0"/>
              <w:left w:val="single" w:color="auto" w:sz="2" w:space="0"/>
              <w:bottom w:val="single" w:color="auto" w:sz="2" w:space="0"/>
              <w:right w:val="single" w:color="auto" w:sz="2" w:space="0"/>
            </w:tcBorders>
            <w:vAlign w:val="top"/>
          </w:tcPr>
          <w:p w14:paraId="14FF9446">
            <w:pPr>
              <w:rPr>
                <w:rFonts w:asciiTheme="minorHAnsi" w:hAnsiTheme="minorHAnsi" w:eastAsiaTheme="minorEastAsia" w:cstheme="minorBidi"/>
                <w:color w:val="000000" w:themeColor="text1"/>
                <w:kern w:val="2"/>
                <w:sz w:val="21"/>
                <w:szCs w:val="22"/>
                <w:lang w:val="en-US" w:eastAsia="zh-CN" w:bidi="ar-SA"/>
                <w14:textFill>
                  <w14:solidFill>
                    <w14:schemeClr w14:val="tx1"/>
                  </w14:solidFill>
                </w14:textFill>
              </w:rPr>
            </w:pPr>
            <w:r>
              <w:rPr>
                <w:rFonts w:hint="eastAsia"/>
                <w:color w:val="000000" w:themeColor="text1"/>
                <w:lang w:val="en-US" w:eastAsia="zh-CN"/>
                <w14:textFill>
                  <w14:solidFill>
                    <w14:schemeClr w14:val="tx1"/>
                  </w14:solidFill>
                </w14:textFill>
              </w:rPr>
              <w:t>对标京东官方旗舰店价格，计算各商品报价折扣率、各套餐报价折扣率，从每家投标商提供的套餐中选取优惠折扣力度最大的三个套餐计算平均折扣率，平均折扣率第一名得30分，第二名得27分，第三名得24分，第四名得21分，第五名得18分，依此类推，每降低一名少得3分。</w:t>
            </w:r>
          </w:p>
        </w:tc>
      </w:tr>
    </w:tbl>
    <w:p w14:paraId="75B8DD26">
      <w:pPr>
        <w:rPr>
          <w:color w:val="000000" w:themeColor="text1"/>
          <w14:textFill>
            <w14:solidFill>
              <w14:schemeClr w14:val="tx1"/>
            </w14:solidFill>
          </w14:textFill>
        </w:rPr>
      </w:pPr>
    </w:p>
    <w:p w14:paraId="7A6F7449">
      <w:pPr>
        <w:rPr>
          <w:color w:val="000000" w:themeColor="text1"/>
          <w14:textFill>
            <w14:solidFill>
              <w14:schemeClr w14:val="tx1"/>
            </w14:solidFill>
          </w14:textFill>
        </w:rPr>
      </w:pPr>
      <w:r>
        <w:rPr>
          <w:color w:val="000000" w:themeColor="text1"/>
          <w14:textFill>
            <w14:solidFill>
              <w14:schemeClr w14:val="tx1"/>
            </w14:solidFill>
          </w14:textFill>
        </w:rPr>
        <w:t>6.</w:t>
      </w:r>
      <w:r>
        <w:rPr>
          <w:rFonts w:hint="eastAsia"/>
          <w:color w:val="000000" w:themeColor="text1"/>
          <w14:textFill>
            <w14:solidFill>
              <w14:schemeClr w14:val="tx1"/>
            </w14:solidFill>
          </w14:textFill>
        </w:rPr>
        <w:t>汇总、排序</w:t>
      </w:r>
    </w:p>
    <w:p w14:paraId="4B96FF4B">
      <w:pPr>
        <w:rPr>
          <w:color w:val="000000" w:themeColor="text1"/>
          <w14:textFill>
            <w14:solidFill>
              <w14:schemeClr w14:val="tx1"/>
            </w14:solidFill>
          </w14:textFill>
        </w:rPr>
      </w:pPr>
    </w:p>
    <w:p w14:paraId="25A9498E">
      <w:pPr>
        <w:ind w:firstLine="42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评选结果按评审后总得分由高到低顺序排列。评审</w:t>
      </w:r>
      <w:r>
        <w:rPr>
          <w:rFonts w:hint="eastAsia"/>
          <w:color w:val="000000" w:themeColor="text1"/>
          <w:lang w:val="en-US" w:eastAsia="zh-CN"/>
          <w14:textFill>
            <w14:solidFill>
              <w14:schemeClr w14:val="tx1"/>
            </w14:solidFill>
          </w14:textFill>
        </w:rPr>
        <w:t>总</w:t>
      </w:r>
      <w:r>
        <w:rPr>
          <w:rFonts w:hint="eastAsia"/>
          <w:color w:val="000000" w:themeColor="text1"/>
          <w14:textFill>
            <w14:solidFill>
              <w14:schemeClr w14:val="tx1"/>
            </w14:solidFill>
          </w14:textFill>
        </w:rPr>
        <w:t>得分相同的，按报价</w:t>
      </w:r>
      <w:r>
        <w:rPr>
          <w:rFonts w:hint="eastAsia"/>
          <w:color w:val="000000" w:themeColor="text1"/>
          <w:lang w:val="en-US" w:eastAsia="zh-CN"/>
          <w14:textFill>
            <w14:solidFill>
              <w14:schemeClr w14:val="tx1"/>
            </w14:solidFill>
          </w14:textFill>
        </w:rPr>
        <w:t>得分</w:t>
      </w:r>
      <w:r>
        <w:rPr>
          <w:rFonts w:hint="eastAsia"/>
          <w:color w:val="000000" w:themeColor="text1"/>
          <w14:textFill>
            <w14:solidFill>
              <w14:schemeClr w14:val="tx1"/>
            </w14:solidFill>
          </w14:textFill>
        </w:rPr>
        <w:t>由</w:t>
      </w:r>
      <w:r>
        <w:rPr>
          <w:rFonts w:hint="eastAsia"/>
          <w:color w:val="000000" w:themeColor="text1"/>
          <w:lang w:val="en-US" w:eastAsia="zh-CN"/>
          <w14:textFill>
            <w14:solidFill>
              <w14:schemeClr w14:val="tx1"/>
            </w14:solidFill>
          </w14:textFill>
        </w:rPr>
        <w:t>高到低</w:t>
      </w:r>
      <w:r>
        <w:rPr>
          <w:rFonts w:hint="eastAsia"/>
          <w:color w:val="000000" w:themeColor="text1"/>
          <w14:textFill>
            <w14:solidFill>
              <w14:schemeClr w14:val="tx1"/>
            </w14:solidFill>
          </w14:textFill>
        </w:rPr>
        <w:t>顺序排列。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小组采取随机抽取方式确定，其他同品牌谈判供应商不作为成交候选人）。</w:t>
      </w:r>
    </w:p>
    <w:p w14:paraId="4AA1D25B">
      <w:pPr>
        <w:rPr>
          <w:color w:val="000000" w:themeColor="text1"/>
          <w14:textFill>
            <w14:solidFill>
              <w14:schemeClr w14:val="tx1"/>
            </w14:solidFill>
          </w14:textFill>
        </w:rPr>
      </w:pPr>
    </w:p>
    <w:p w14:paraId="34D0C9FE">
      <w:pPr>
        <w:rPr>
          <w:color w:val="000000" w:themeColor="text1"/>
          <w14:textFill>
            <w14:solidFill>
              <w14:schemeClr w14:val="tx1"/>
            </w14:solidFill>
          </w14:textFill>
        </w:rPr>
      </w:pPr>
    </w:p>
    <w:p w14:paraId="38AEBF5F">
      <w:pPr>
        <w:rPr>
          <w:color w:val="000000" w:themeColor="text1"/>
          <w14:textFill>
            <w14:solidFill>
              <w14:schemeClr w14:val="tx1"/>
            </w14:solidFill>
          </w14:textFill>
        </w:rPr>
      </w:pPr>
    </w:p>
    <w:p w14:paraId="6ADCC787">
      <w:pPr>
        <w:rPr>
          <w:color w:val="000000" w:themeColor="text1"/>
          <w14:textFill>
            <w14:solidFill>
              <w14:schemeClr w14:val="tx1"/>
            </w14:solidFill>
          </w14:textFill>
        </w:rPr>
      </w:pPr>
    </w:p>
    <w:p w14:paraId="774BEF0B">
      <w:pPr>
        <w:rPr>
          <w:color w:val="000000" w:themeColor="text1"/>
          <w14:textFill>
            <w14:solidFill>
              <w14:schemeClr w14:val="tx1"/>
            </w14:solidFill>
          </w14:textFill>
        </w:rPr>
      </w:pP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广东省深圳牙科医疗中心工会委员会</w:t>
      </w:r>
    </w:p>
    <w:p w14:paraId="14DB74BF">
      <w:pPr>
        <w:rPr>
          <w:color w:val="000000" w:themeColor="text1"/>
          <w14:textFill>
            <w14:solidFill>
              <w14:schemeClr w14:val="tx1"/>
            </w14:solidFill>
          </w14:textFill>
        </w:rPr>
      </w:pPr>
      <w:r>
        <w:rPr>
          <w:color w:val="000000" w:themeColor="text1"/>
          <w14:textFill>
            <w14:solidFill>
              <w14:schemeClr w14:val="tx1"/>
            </w14:solidFill>
          </w14:textFill>
        </w:rPr>
        <w:t xml:space="preserve">                                                  202</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11</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27</w:t>
      </w:r>
      <w:r>
        <w:rPr>
          <w:rFonts w:hint="eastAsia"/>
          <w:color w:val="000000" w:themeColor="text1"/>
          <w14:textFill>
            <w14:solidFill>
              <w14:schemeClr w14:val="tx1"/>
            </w14:solidFill>
          </w14:textFill>
        </w:rPr>
        <w:t>日</w:t>
      </w:r>
    </w:p>
    <w:p w14:paraId="48E8DC05">
      <w:pPr>
        <w:rPr>
          <w:rFonts w:hint="eastAsia"/>
          <w:color w:val="auto"/>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jNWE0NWE4Y2RmMmVhM2Y2ZDg1Mjk5YzVkNmI3NDEifQ=="/>
  </w:docVars>
  <w:rsids>
    <w:rsidRoot w:val="00C61AF2"/>
    <w:rsid w:val="00C61AF2"/>
    <w:rsid w:val="00C82F5A"/>
    <w:rsid w:val="05912824"/>
    <w:rsid w:val="07214165"/>
    <w:rsid w:val="07E775D3"/>
    <w:rsid w:val="0C7136AA"/>
    <w:rsid w:val="0EFF4AE0"/>
    <w:rsid w:val="18876CC1"/>
    <w:rsid w:val="1B1E3B6D"/>
    <w:rsid w:val="2814497E"/>
    <w:rsid w:val="2EB20D92"/>
    <w:rsid w:val="2F6066F3"/>
    <w:rsid w:val="317109B3"/>
    <w:rsid w:val="31B25751"/>
    <w:rsid w:val="32343F25"/>
    <w:rsid w:val="3CA1704A"/>
    <w:rsid w:val="4BB87F0C"/>
    <w:rsid w:val="4C706D10"/>
    <w:rsid w:val="60593614"/>
    <w:rsid w:val="668F5027"/>
    <w:rsid w:val="693325DA"/>
    <w:rsid w:val="6C9E1B18"/>
    <w:rsid w:val="772A5934"/>
    <w:rsid w:val="79996142"/>
    <w:rsid w:val="7AAA5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unhideWhenUsed/>
    <w:qFormat/>
    <w:uiPriority w:val="1"/>
  </w:style>
  <w:style w:type="table" w:default="1" w:styleId="2">
    <w:name w:val="Normal Table"/>
    <w:autoRedefin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1482</Words>
  <Characters>1699</Characters>
  <Lines>44</Lines>
  <Paragraphs>12</Paragraphs>
  <TotalTime>11</TotalTime>
  <ScaleCrop>false</ScaleCrop>
  <LinksUpToDate>false</LinksUpToDate>
  <CharactersWithSpaces>1805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2023-08-25T01:46:00Z</dcterms:created>
  <dc:creator>微软用户</dc:creator>
  <cp:lastModifiedBy>人生如梦</cp:lastModifiedBy>
  <dcterms:modified xsi:type="dcterms:W3CDTF">2024-11-27T00:53:43Z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BE2D25AFA69A4536B6F3FF6C46E73C28_13</vt:lpwstr>
  </property>
</Properties>
</file>